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3B" w:rsidRDefault="0018153B" w:rsidP="0018153B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53B">
        <w:rPr>
          <w:rFonts w:ascii="Times New Roman" w:hAnsi="Times New Roman" w:cs="Times New Roman"/>
          <w:b/>
          <w:bCs/>
          <w:noProof/>
          <w:sz w:val="24"/>
          <w:szCs w:val="24"/>
          <w:lang w:eastAsia="sv-SE"/>
        </w:rPr>
        <w:drawing>
          <wp:inline distT="0" distB="0" distL="0" distR="0">
            <wp:extent cx="996315" cy="574675"/>
            <wp:effectExtent l="19050" t="0" r="0" b="0"/>
            <wp:docPr id="2" name="Picture 1" descr="C:\Users\Elizabeth\AppData\Local\Microsoft\Windows\Temporary Internet Files\Content.IE5\I0IFBC9D\EMFscientis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zabeth\AppData\Local\Microsoft\Windows\Temporary Internet Files\Content.IE5\I0IFBC9D\EMFscientist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53B" w:rsidRDefault="0018153B" w:rsidP="00FD404A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b/>
          <w:bCs/>
          <w:sz w:val="24"/>
          <w:szCs w:val="24"/>
        </w:rPr>
      </w:pPr>
    </w:p>
    <w:p w:rsidR="00355734" w:rsidRPr="00D878FE" w:rsidRDefault="00FD404A" w:rsidP="00FD404A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b/>
          <w:bCs/>
          <w:sz w:val="24"/>
          <w:szCs w:val="24"/>
        </w:rPr>
      </w:pPr>
      <w:r w:rsidRPr="00D878FE">
        <w:rPr>
          <w:rFonts w:ascii="Times New Roman" w:hAnsi="Times New Roman" w:cs="Times New Roman"/>
          <w:b/>
          <w:bCs/>
          <w:sz w:val="24"/>
          <w:szCs w:val="24"/>
        </w:rPr>
        <w:t xml:space="preserve">Till: </w:t>
      </w:r>
      <w:r w:rsidR="00355734" w:rsidRPr="00D878F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D404A" w:rsidRPr="00D878FE" w:rsidRDefault="00FD404A" w:rsidP="00FD404A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b/>
          <w:bCs/>
          <w:sz w:val="24"/>
          <w:szCs w:val="24"/>
        </w:rPr>
      </w:pPr>
      <w:r w:rsidRPr="00D878FE">
        <w:rPr>
          <w:rFonts w:ascii="Times New Roman" w:hAnsi="Times New Roman" w:cs="Times New Roman"/>
          <w:b/>
          <w:bCs/>
          <w:sz w:val="24"/>
          <w:szCs w:val="24"/>
        </w:rPr>
        <w:t>Mr. Ban Ki</w:t>
      </w:r>
      <w:r w:rsidR="00B06113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Pr="00D878FE">
        <w:rPr>
          <w:rFonts w:ascii="Times New Roman" w:hAnsi="Times New Roman" w:cs="Times New Roman"/>
          <w:b/>
          <w:bCs/>
          <w:sz w:val="24"/>
          <w:szCs w:val="24"/>
        </w:rPr>
        <w:t xml:space="preserve">oon, </w:t>
      </w:r>
      <w:r w:rsidR="00355734" w:rsidRPr="00D878FE">
        <w:rPr>
          <w:rFonts w:ascii="Times New Roman" w:hAnsi="Times New Roman" w:cs="Times New Roman"/>
          <w:b/>
          <w:bCs/>
          <w:sz w:val="24"/>
          <w:szCs w:val="24"/>
        </w:rPr>
        <w:t>FN:s Generalsekreterare;</w:t>
      </w:r>
    </w:p>
    <w:p w:rsidR="00FD404A" w:rsidRPr="00355734" w:rsidRDefault="00FD404A" w:rsidP="00355734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b/>
          <w:bCs/>
          <w:sz w:val="24"/>
          <w:szCs w:val="24"/>
        </w:rPr>
      </w:pPr>
      <w:r w:rsidRPr="00355734">
        <w:rPr>
          <w:rFonts w:ascii="Times New Roman" w:hAnsi="Times New Roman" w:cs="Times New Roman"/>
          <w:b/>
          <w:bCs/>
          <w:sz w:val="24"/>
          <w:szCs w:val="24"/>
        </w:rPr>
        <w:t xml:space="preserve">Dr. Margaret Chan, </w:t>
      </w:r>
      <w:r w:rsidR="00355734" w:rsidRPr="00355734">
        <w:rPr>
          <w:rFonts w:ascii="Times New Roman" w:hAnsi="Times New Roman" w:cs="Times New Roman"/>
          <w:b/>
          <w:bCs/>
          <w:sz w:val="24"/>
          <w:szCs w:val="24"/>
        </w:rPr>
        <w:t>Generaldirektör WHO</w:t>
      </w:r>
      <w:r w:rsidRPr="00355734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FD404A" w:rsidRDefault="00355734" w:rsidP="00FD404A">
      <w:pPr>
        <w:ind w:left="1134"/>
      </w:pPr>
      <w:r>
        <w:rPr>
          <w:rFonts w:ascii="Times New Roman" w:hAnsi="Times New Roman" w:cs="Times New Roman"/>
          <w:b/>
          <w:bCs/>
          <w:sz w:val="24"/>
          <w:szCs w:val="24"/>
        </w:rPr>
        <w:t>FN:s medlemsstater</w:t>
      </w:r>
    </w:p>
    <w:p w:rsidR="00EC58EC" w:rsidRPr="00355734" w:rsidRDefault="00EC58EC" w:rsidP="00355734">
      <w:pPr>
        <w:ind w:left="1134"/>
        <w:rPr>
          <w:b/>
        </w:rPr>
      </w:pPr>
      <w:r w:rsidRPr="00355734">
        <w:rPr>
          <w:b/>
        </w:rPr>
        <w:t>Internationell appell</w:t>
      </w:r>
    </w:p>
    <w:p w:rsidR="00EC58EC" w:rsidRPr="00783FE7" w:rsidRDefault="00EC58EC" w:rsidP="009318D8">
      <w:pPr>
        <w:ind w:left="1134"/>
        <w:rPr>
          <w:b/>
          <w:sz w:val="28"/>
          <w:szCs w:val="28"/>
        </w:rPr>
      </w:pPr>
      <w:r w:rsidRPr="00783FE7">
        <w:rPr>
          <w:b/>
          <w:sz w:val="28"/>
          <w:szCs w:val="28"/>
        </w:rPr>
        <w:t xml:space="preserve">Forskare </w:t>
      </w:r>
      <w:r w:rsidR="00052D35">
        <w:rPr>
          <w:b/>
          <w:sz w:val="28"/>
          <w:szCs w:val="28"/>
        </w:rPr>
        <w:t>kräver skydd mot hälsorisker vid</w:t>
      </w:r>
      <w:r w:rsidRPr="00783FE7">
        <w:rPr>
          <w:b/>
          <w:sz w:val="28"/>
          <w:szCs w:val="28"/>
        </w:rPr>
        <w:t xml:space="preserve"> exponering för </w:t>
      </w:r>
      <w:r w:rsidR="005406E2" w:rsidRPr="00783FE7">
        <w:rPr>
          <w:b/>
          <w:sz w:val="28"/>
          <w:szCs w:val="28"/>
        </w:rPr>
        <w:t xml:space="preserve">icke-joniserande </w:t>
      </w:r>
      <w:r w:rsidRPr="00783FE7">
        <w:rPr>
          <w:b/>
          <w:sz w:val="28"/>
          <w:szCs w:val="28"/>
        </w:rPr>
        <w:t>elektromagnetisk strålning.</w:t>
      </w:r>
    </w:p>
    <w:p w:rsidR="00EC58EC" w:rsidRDefault="00EC58EC" w:rsidP="009318D8">
      <w:pPr>
        <w:spacing w:line="240" w:lineRule="auto"/>
        <w:ind w:left="1134"/>
      </w:pPr>
      <w:r w:rsidRPr="00783FE7">
        <w:t xml:space="preserve">Vi är vetenskapsmän som forskar på </w:t>
      </w:r>
      <w:r w:rsidR="005406E2" w:rsidRPr="00783FE7">
        <w:t xml:space="preserve">biologiska effekter och </w:t>
      </w:r>
      <w:r w:rsidRPr="00783FE7">
        <w:t>hälsoeffekter</w:t>
      </w:r>
      <w:r w:rsidR="00853D6C" w:rsidRPr="00783FE7">
        <w:t xml:space="preserve"> av </w:t>
      </w:r>
      <w:r w:rsidRPr="00783FE7">
        <w:t>icke-joniserande elektromagnetiska</w:t>
      </w:r>
      <w:r w:rsidR="00853D6C" w:rsidRPr="00783FE7">
        <w:t xml:space="preserve"> </w:t>
      </w:r>
      <w:r w:rsidRPr="00783FE7">
        <w:t>fält (EMF). Baserat på tillgänglig</w:t>
      </w:r>
      <w:r w:rsidR="00E16F5A">
        <w:t xml:space="preserve"> </w:t>
      </w:r>
      <w:r w:rsidR="0073799E">
        <w:t>förhands</w:t>
      </w:r>
      <w:r w:rsidR="00E16F5A" w:rsidRPr="00E16F5A">
        <w:t>granskad och</w:t>
      </w:r>
      <w:r>
        <w:t xml:space="preserve"> publicerad vetenskaplig forskning är vi allvarligt oroade över den ök</w:t>
      </w:r>
      <w:r w:rsidR="00A7565C">
        <w:t xml:space="preserve">ande och utbredda exponeringen </w:t>
      </w:r>
      <w:r>
        <w:t>för elektromagnetiska fält som alstras av elektriska och trådlösa produkter. Dessa inkluderar</w:t>
      </w:r>
      <w:r w:rsidR="00853D6C">
        <w:t>,</w:t>
      </w:r>
      <w:r>
        <w:t xml:space="preserve"> men är inte begränsade till</w:t>
      </w:r>
      <w:r w:rsidR="00853D6C">
        <w:t>,</w:t>
      </w:r>
      <w:r>
        <w:t xml:space="preserve"> radiofrekvent strål</w:t>
      </w:r>
      <w:r w:rsidR="00A7565C">
        <w:t>ning</w:t>
      </w:r>
      <w:r w:rsidR="00B300B8">
        <w:t xml:space="preserve"> (RF-EMF)</w:t>
      </w:r>
      <w:r w:rsidR="00A7565C">
        <w:t xml:space="preserve"> som avges från till exempel mobiltelefoner, </w:t>
      </w:r>
      <w:r>
        <w:t>trådlösa telef</w:t>
      </w:r>
      <w:r w:rsidR="00E16F5A">
        <w:t>oner och deras basenheter, WiF</w:t>
      </w:r>
      <w:r w:rsidR="00A7565C">
        <w:t xml:space="preserve">i, </w:t>
      </w:r>
      <w:r>
        <w:t>smarta elmätare, babyvakter samt elektriska apparater och infrastrukturer so</w:t>
      </w:r>
      <w:r w:rsidR="00E16F5A">
        <w:t xml:space="preserve">m används </w:t>
      </w:r>
      <w:r w:rsidR="001449C3">
        <w:t>vid</w:t>
      </w:r>
      <w:r w:rsidR="005406E2">
        <w:t xml:space="preserve"> di</w:t>
      </w:r>
      <w:r w:rsidR="001449C3">
        <w:t>s</w:t>
      </w:r>
      <w:r w:rsidR="005406E2">
        <w:t>tribution</w:t>
      </w:r>
      <w:r w:rsidR="00E16F5A">
        <w:t xml:space="preserve"> av el vilka genererar extremt lågfrekventa</w:t>
      </w:r>
      <w:r>
        <w:t xml:space="preserve"> elektromagnetiska fält (ELF EMF).</w:t>
      </w:r>
    </w:p>
    <w:p w:rsidR="00EC58EC" w:rsidRPr="00853D6C" w:rsidRDefault="00853D6C" w:rsidP="009318D8">
      <w:pPr>
        <w:ind w:left="1134"/>
        <w:rPr>
          <w:b/>
          <w:sz w:val="28"/>
          <w:szCs w:val="28"/>
        </w:rPr>
      </w:pPr>
      <w:r w:rsidRPr="00853D6C">
        <w:rPr>
          <w:b/>
          <w:sz w:val="28"/>
          <w:szCs w:val="28"/>
        </w:rPr>
        <w:t xml:space="preserve">Vetenskaplig grund för vår </w:t>
      </w:r>
      <w:r w:rsidR="00E16F5A">
        <w:rPr>
          <w:b/>
          <w:sz w:val="28"/>
          <w:szCs w:val="28"/>
        </w:rPr>
        <w:t xml:space="preserve">gemensamma </w:t>
      </w:r>
      <w:r w:rsidR="00EC58EC" w:rsidRPr="00853D6C">
        <w:rPr>
          <w:b/>
          <w:sz w:val="28"/>
          <w:szCs w:val="28"/>
        </w:rPr>
        <w:t>oro:</w:t>
      </w:r>
    </w:p>
    <w:p w:rsidR="00EC58EC" w:rsidRPr="004D103D" w:rsidRDefault="00853D6C" w:rsidP="009318D8">
      <w:pPr>
        <w:ind w:left="1134"/>
      </w:pPr>
      <w:r w:rsidRPr="004D103D">
        <w:t xml:space="preserve">Många nya vetenskapliga </w:t>
      </w:r>
      <w:r w:rsidR="00970AAC" w:rsidRPr="004D103D">
        <w:t>publikationer</w:t>
      </w:r>
      <w:r w:rsidR="00EC58EC" w:rsidRPr="004D103D">
        <w:t xml:space="preserve"> har visat att EM</w:t>
      </w:r>
      <w:r w:rsidRPr="004D103D">
        <w:t>F påverkar levande organismer vid</w:t>
      </w:r>
      <w:r w:rsidR="00D51577" w:rsidRPr="004D103D">
        <w:t xml:space="preserve"> nivåer långt </w:t>
      </w:r>
      <w:r w:rsidR="00EC58EC" w:rsidRPr="004D103D">
        <w:t xml:space="preserve">under de flesta internationella och nationella </w:t>
      </w:r>
      <w:r w:rsidRPr="004D103D">
        <w:t>riktlinjer</w:t>
      </w:r>
      <w:r w:rsidR="00EC58EC" w:rsidRPr="004D103D">
        <w:t>.</w:t>
      </w:r>
      <w:r w:rsidR="00E16F5A" w:rsidRPr="004D103D">
        <w:t xml:space="preserve"> </w:t>
      </w:r>
      <w:r w:rsidR="00EC58EC" w:rsidRPr="004D103D">
        <w:t>Effekter</w:t>
      </w:r>
      <w:r w:rsidRPr="004D103D">
        <w:t xml:space="preserve"> </w:t>
      </w:r>
      <w:r w:rsidR="00E16F5A" w:rsidRPr="004D103D">
        <w:t xml:space="preserve">inkluderar </w:t>
      </w:r>
      <w:r w:rsidR="00EC58EC" w:rsidRPr="004D103D">
        <w:t>ökad cancerrisk, cellulär stress,</w:t>
      </w:r>
      <w:r w:rsidRPr="004D103D">
        <w:t xml:space="preserve"> </w:t>
      </w:r>
      <w:r w:rsidR="00EC58EC" w:rsidRPr="004D103D">
        <w:t>ökning av skadliga fria radikaler, genetiska skador, strukturella och funktionella förändringar i de</w:t>
      </w:r>
      <w:r w:rsidR="00970AAC" w:rsidRPr="004D103D">
        <w:t>t</w:t>
      </w:r>
      <w:r w:rsidRPr="004D103D">
        <w:t xml:space="preserve"> </w:t>
      </w:r>
      <w:r w:rsidR="00EC58EC" w:rsidRPr="004D103D">
        <w:t>reproduktiva systeme</w:t>
      </w:r>
      <w:r w:rsidR="00970AAC" w:rsidRPr="004D103D">
        <w:t>t</w:t>
      </w:r>
      <w:r w:rsidR="00EC58EC" w:rsidRPr="004D103D">
        <w:t xml:space="preserve">, </w:t>
      </w:r>
      <w:r w:rsidR="006023E1">
        <w:t>försämring av</w:t>
      </w:r>
      <w:r w:rsidR="00E16F5A" w:rsidRPr="004D103D">
        <w:t xml:space="preserve"> inlärning</w:t>
      </w:r>
      <w:r w:rsidR="00EC58EC" w:rsidRPr="004D103D">
        <w:t xml:space="preserve"> och minne, neurologiska sjukdomar, och negativa effekter på</w:t>
      </w:r>
      <w:r w:rsidRPr="004D103D">
        <w:t xml:space="preserve"> </w:t>
      </w:r>
      <w:r w:rsidR="00EC58EC" w:rsidRPr="004D103D">
        <w:t xml:space="preserve">allmänt välbefinnande hos människor. Skador </w:t>
      </w:r>
      <w:r w:rsidR="00914E34">
        <w:t xml:space="preserve">berör inte bara människor, </w:t>
      </w:r>
      <w:r w:rsidR="00EC58EC" w:rsidRPr="004D103D">
        <w:t>eftersom det finns en växande</w:t>
      </w:r>
      <w:r w:rsidRPr="004D103D">
        <w:t xml:space="preserve"> mängd </w:t>
      </w:r>
      <w:r w:rsidR="00970AAC" w:rsidRPr="004D103D">
        <w:t>belägg för skador</w:t>
      </w:r>
      <w:r w:rsidR="00EC58EC" w:rsidRPr="004D103D">
        <w:t xml:space="preserve"> på både växt- och djurliv.</w:t>
      </w:r>
    </w:p>
    <w:p w:rsidR="00EC58EC" w:rsidRPr="004D103D" w:rsidRDefault="00E16F5A" w:rsidP="009318D8">
      <w:pPr>
        <w:ind w:left="1134"/>
      </w:pPr>
      <w:r w:rsidRPr="004D103D">
        <w:t xml:space="preserve">Mot bakgrund av dessa fynd vädjar vi till </w:t>
      </w:r>
      <w:r w:rsidR="00EC58EC" w:rsidRPr="004D103D">
        <w:t>Förenta Nationerna</w:t>
      </w:r>
      <w:r w:rsidR="00F475A5" w:rsidRPr="004D103D">
        <w:t xml:space="preserve"> (FN) och</w:t>
      </w:r>
      <w:r w:rsidR="00EC58EC" w:rsidRPr="004D103D">
        <w:t xml:space="preserve"> al</w:t>
      </w:r>
      <w:r w:rsidRPr="004D103D">
        <w:t xml:space="preserve">la medlemsstater i världen, </w:t>
      </w:r>
      <w:r w:rsidR="00853D6C" w:rsidRPr="004D103D">
        <w:t xml:space="preserve">att </w:t>
      </w:r>
      <w:r w:rsidR="00EC58EC" w:rsidRPr="004D103D">
        <w:t>uppm</w:t>
      </w:r>
      <w:r w:rsidR="00853D6C" w:rsidRPr="004D103D">
        <w:t>ana</w:t>
      </w:r>
      <w:r w:rsidR="00EC58EC" w:rsidRPr="004D103D">
        <w:t xml:space="preserve"> Vär</w:t>
      </w:r>
      <w:r w:rsidR="00CC64C5" w:rsidRPr="004D103D">
        <w:t>ldshälsoorganisationen (WHO)</w:t>
      </w:r>
      <w:r w:rsidR="00EC58EC" w:rsidRPr="004D103D">
        <w:t xml:space="preserve"> att utöva ett sta</w:t>
      </w:r>
      <w:r w:rsidR="00F451F9" w:rsidRPr="004D103D">
        <w:t xml:space="preserve">rkt ledarskap </w:t>
      </w:r>
      <w:r w:rsidR="00CC64C5" w:rsidRPr="004D103D">
        <w:t xml:space="preserve">för </w:t>
      </w:r>
      <w:r w:rsidR="00F451F9" w:rsidRPr="004D103D">
        <w:t>att främja utarbetande</w:t>
      </w:r>
      <w:r w:rsidR="00EC58EC" w:rsidRPr="004D103D">
        <w:t xml:space="preserve"> av mer skyddande</w:t>
      </w:r>
      <w:r w:rsidR="00F451F9" w:rsidRPr="004D103D">
        <w:t xml:space="preserve"> </w:t>
      </w:r>
      <w:r w:rsidR="00F475A5" w:rsidRPr="004D103D">
        <w:t xml:space="preserve">riktlinjer för EMF </w:t>
      </w:r>
      <w:r w:rsidR="00EC58EC" w:rsidRPr="004D103D">
        <w:t xml:space="preserve">, uppmuntra </w:t>
      </w:r>
      <w:r w:rsidR="00F475A5" w:rsidRPr="004D103D">
        <w:t xml:space="preserve">till </w:t>
      </w:r>
      <w:r w:rsidR="00EC58EC" w:rsidRPr="004D103D">
        <w:t xml:space="preserve">försiktighetsåtgärder, och </w:t>
      </w:r>
      <w:r w:rsidR="00F475A5" w:rsidRPr="004D103D">
        <w:t xml:space="preserve">informera </w:t>
      </w:r>
      <w:r w:rsidR="00EC58EC" w:rsidRPr="004D103D">
        <w:t>allmänheten om hälsorisker, särskilt</w:t>
      </w:r>
      <w:r w:rsidR="00F475A5" w:rsidRPr="004D103D">
        <w:t xml:space="preserve"> om </w:t>
      </w:r>
      <w:r w:rsidR="00EC58EC" w:rsidRPr="004D103D">
        <w:t xml:space="preserve"> risk</w:t>
      </w:r>
      <w:r w:rsidR="00F475A5" w:rsidRPr="004D103D">
        <w:t>erna för barn och foster</w:t>
      </w:r>
      <w:r w:rsidR="00EC58EC" w:rsidRPr="004D103D">
        <w:t>. Genom att inte vidta åtgärder,</w:t>
      </w:r>
      <w:r w:rsidR="00F475A5" w:rsidRPr="004D103D">
        <w:t xml:space="preserve"> </w:t>
      </w:r>
      <w:r w:rsidR="00EC58EC" w:rsidRPr="004D103D">
        <w:t xml:space="preserve">underlåter </w:t>
      </w:r>
      <w:r w:rsidR="00F475A5" w:rsidRPr="004D103D">
        <w:t>W</w:t>
      </w:r>
      <w:r w:rsidR="00C72690" w:rsidRPr="004D103D">
        <w:t>HO att fullgöra sin roll som den</w:t>
      </w:r>
      <w:r w:rsidR="00EC58EC" w:rsidRPr="004D103D">
        <w:t xml:space="preserve"> </w:t>
      </w:r>
      <w:r w:rsidR="002B79B6">
        <w:t xml:space="preserve">ledande </w:t>
      </w:r>
      <w:r w:rsidR="00EC58EC" w:rsidRPr="004D103D">
        <w:t>i</w:t>
      </w:r>
      <w:r w:rsidR="00C72690" w:rsidRPr="004D103D">
        <w:t>nternationella folkhälsoorganisationen</w:t>
      </w:r>
    </w:p>
    <w:p w:rsidR="00EC58EC" w:rsidRPr="004D103D" w:rsidRDefault="00EC58EC" w:rsidP="009318D8">
      <w:pPr>
        <w:ind w:left="1134"/>
        <w:rPr>
          <w:b/>
          <w:sz w:val="28"/>
          <w:szCs w:val="28"/>
        </w:rPr>
      </w:pPr>
      <w:r w:rsidRPr="004D103D">
        <w:rPr>
          <w:b/>
          <w:sz w:val="28"/>
          <w:szCs w:val="28"/>
        </w:rPr>
        <w:t>Otillräcklig</w:t>
      </w:r>
      <w:r w:rsidR="00F475A5" w:rsidRPr="004D103D">
        <w:rPr>
          <w:b/>
          <w:sz w:val="28"/>
          <w:szCs w:val="28"/>
        </w:rPr>
        <w:t>a</w:t>
      </w:r>
      <w:r w:rsidRPr="004D103D">
        <w:rPr>
          <w:b/>
          <w:sz w:val="28"/>
          <w:szCs w:val="28"/>
        </w:rPr>
        <w:t xml:space="preserve"> internationella riktlinjer</w:t>
      </w:r>
      <w:r w:rsidR="00F475A5" w:rsidRPr="004D103D">
        <w:rPr>
          <w:b/>
          <w:sz w:val="28"/>
          <w:szCs w:val="28"/>
        </w:rPr>
        <w:t xml:space="preserve"> för icke-joniserande EMF</w:t>
      </w:r>
    </w:p>
    <w:p w:rsidR="00EC58EC" w:rsidRPr="004D103D" w:rsidRDefault="00EC58EC" w:rsidP="009318D8">
      <w:pPr>
        <w:ind w:left="1134"/>
      </w:pPr>
      <w:r w:rsidRPr="004D103D">
        <w:t xml:space="preserve">De olika </w:t>
      </w:r>
      <w:r w:rsidR="00F475A5" w:rsidRPr="004D103D">
        <w:t xml:space="preserve">organisationer som rekommenderar </w:t>
      </w:r>
      <w:r w:rsidRPr="004D103D">
        <w:t>säkerhetsstandarder har misslyckats med att införa tillräckliga riktlinjer för att skydda</w:t>
      </w:r>
      <w:r w:rsidR="00F475A5" w:rsidRPr="004D103D">
        <w:t xml:space="preserve"> </w:t>
      </w:r>
      <w:r w:rsidRPr="004D103D">
        <w:t xml:space="preserve">allmänheten, </w:t>
      </w:r>
      <w:r w:rsidR="00F475A5" w:rsidRPr="004D103D">
        <w:t xml:space="preserve">i synnerhet barnen </w:t>
      </w:r>
      <w:r w:rsidRPr="004D103D">
        <w:t xml:space="preserve">som är </w:t>
      </w:r>
      <w:r w:rsidR="00F475A5" w:rsidRPr="004D103D">
        <w:t xml:space="preserve">mer känsliga </w:t>
      </w:r>
      <w:r w:rsidRPr="004D103D">
        <w:t>för effekterna av elektromagnetiska fält.</w:t>
      </w:r>
    </w:p>
    <w:p w:rsidR="00EC58EC" w:rsidRPr="003443DF" w:rsidRDefault="000F3084" w:rsidP="003443DF">
      <w:pPr>
        <w:ind w:left="1134"/>
      </w:pPr>
      <w:r w:rsidRPr="004D103D">
        <w:t>Den I</w:t>
      </w:r>
      <w:r w:rsidR="00EC58EC" w:rsidRPr="004D103D">
        <w:t>nternationella kommissionen för skydd mot icke-joniserande stråln</w:t>
      </w:r>
      <w:r w:rsidR="00F475A5" w:rsidRPr="004D103D">
        <w:t>ing (ICNIRP) rekommenderade</w:t>
      </w:r>
      <w:r w:rsidR="00EC58EC" w:rsidRPr="004D103D">
        <w:t xml:space="preserve"> 1998</w:t>
      </w:r>
      <w:r w:rsidR="00F475A5" w:rsidRPr="004D103D">
        <w:t xml:space="preserve"> </w:t>
      </w:r>
      <w:r w:rsidR="00EC58EC" w:rsidRPr="004D103D">
        <w:t xml:space="preserve">"Riktlinjer för begränsning av exponering för tidsvarierande </w:t>
      </w:r>
      <w:r w:rsidR="00EC58EC" w:rsidRPr="004D103D">
        <w:lastRenderedPageBreak/>
        <w:t>elektriska, magnetiska och elektromagnetiska fält</w:t>
      </w:r>
      <w:r w:rsidR="00F475A5" w:rsidRPr="004D103D">
        <w:t xml:space="preserve"> </w:t>
      </w:r>
      <w:r w:rsidR="00ED4C06">
        <w:t>(upp till 300 GHz)"</w:t>
      </w:r>
      <w:r w:rsidR="00EC58EC" w:rsidRPr="004D103D">
        <w:t>.</w:t>
      </w:r>
      <w:r w:rsidR="001C48F8">
        <w:rPr>
          <w:rStyle w:val="Fotnotsreferens"/>
        </w:rPr>
        <w:footnoteReference w:id="1"/>
      </w:r>
      <w:r w:rsidR="00EC58EC" w:rsidRPr="004D103D">
        <w:t xml:space="preserve"> Dessa riktlinjer accepteras av WHO och många länder runt om i</w:t>
      </w:r>
      <w:r w:rsidRPr="004D103D">
        <w:t xml:space="preserve"> </w:t>
      </w:r>
      <w:r w:rsidR="00CC64C5" w:rsidRPr="004D103D">
        <w:t xml:space="preserve">världen. WHO uppmanar </w:t>
      </w:r>
      <w:r w:rsidR="00EC58EC" w:rsidRPr="004D103D">
        <w:t xml:space="preserve">alla nationer att </w:t>
      </w:r>
      <w:r w:rsidR="00CC64C5" w:rsidRPr="004D103D">
        <w:t>anta ICNIRP:</w:t>
      </w:r>
      <w:r w:rsidR="00EC58EC" w:rsidRPr="004D103D">
        <w:t xml:space="preserve">s riktlinjer för att </w:t>
      </w:r>
      <w:r w:rsidR="00F475A5" w:rsidRPr="004D103D">
        <w:t xml:space="preserve">främja </w:t>
      </w:r>
      <w:r w:rsidR="00AC122D" w:rsidRPr="004D103D">
        <w:t>internationell</w:t>
      </w:r>
      <w:r w:rsidR="00F475A5" w:rsidRPr="004D103D">
        <w:t xml:space="preserve"> </w:t>
      </w:r>
      <w:r w:rsidR="00EC58EC" w:rsidRPr="004D103D">
        <w:t>harmonisering av standarder. Under 2009</w:t>
      </w:r>
      <w:r w:rsidR="003443DF">
        <w:t xml:space="preserve"> deklarerade</w:t>
      </w:r>
      <w:r w:rsidR="00F475A5" w:rsidRPr="004D103D">
        <w:t xml:space="preserve"> </w:t>
      </w:r>
      <w:r w:rsidR="00EC58EC" w:rsidRPr="004D103D">
        <w:t xml:space="preserve">ICNIRP </w:t>
      </w:r>
      <w:r w:rsidR="003443DF">
        <w:t>att man står fast vid riktlinjerna från 1998.</w:t>
      </w:r>
      <w:r w:rsidR="00A1337C">
        <w:rPr>
          <w:rStyle w:val="Fotnotsreferens"/>
        </w:rPr>
        <w:footnoteReference w:id="2"/>
      </w:r>
      <w:r w:rsidR="003443DF">
        <w:t xml:space="preserve"> Man hävdade att det, </w:t>
      </w:r>
      <w:r w:rsidR="00EC58EC" w:rsidRPr="004D103D">
        <w:t>enligt deras uppfattn</w:t>
      </w:r>
      <w:r w:rsidR="00F475A5" w:rsidRPr="004D103D">
        <w:t>ing</w:t>
      </w:r>
      <w:r w:rsidR="00AC122D" w:rsidRPr="004D103D">
        <w:t>,</w:t>
      </w:r>
      <w:r w:rsidR="003443DF">
        <w:t xml:space="preserve"> i den vetenskapliga litteraturen</w:t>
      </w:r>
      <w:r w:rsidR="00ED4C06">
        <w:t xml:space="preserve"> som publicerats sedan dess </w:t>
      </w:r>
      <w:r w:rsidR="003443DF">
        <w:t>inte framkommit några vetenskapliga belägg för negativa effekter under de grundläggande begränsningarna som föranledde en översyn</w:t>
      </w:r>
      <w:r w:rsidR="003443DF">
        <w:rPr>
          <w:sz w:val="16"/>
          <w:szCs w:val="16"/>
        </w:rPr>
        <w:t xml:space="preserve"> </w:t>
      </w:r>
      <w:r w:rsidR="00AC122D" w:rsidRPr="004D103D">
        <w:t>av de egna</w:t>
      </w:r>
      <w:r w:rsidR="00EC58EC" w:rsidRPr="004D103D">
        <w:t xml:space="preserve"> riktlinjer</w:t>
      </w:r>
      <w:r w:rsidR="00AC122D" w:rsidRPr="004D103D">
        <w:t>na</w:t>
      </w:r>
      <w:r w:rsidR="00EC58EC" w:rsidRPr="004D103D">
        <w:t xml:space="preserve"> om begränsning av exponering för högfrek</w:t>
      </w:r>
      <w:r w:rsidR="003443DF">
        <w:t>venta elektromagnetiska fält.</w:t>
      </w:r>
      <w:r w:rsidR="00EC58EC" w:rsidRPr="004D103D">
        <w:t xml:space="preserve"> </w:t>
      </w:r>
      <w:r w:rsidR="004E0902" w:rsidRPr="004D103D">
        <w:t xml:space="preserve"> </w:t>
      </w:r>
      <w:r w:rsidR="00EC58EC" w:rsidRPr="004D103D">
        <w:t>ICNIRP</w:t>
      </w:r>
      <w:r w:rsidR="004E0902" w:rsidRPr="004D103D">
        <w:t xml:space="preserve"> </w:t>
      </w:r>
      <w:r w:rsidR="00EC58EC" w:rsidRPr="004D103D">
        <w:t xml:space="preserve">fortsätter </w:t>
      </w:r>
      <w:r w:rsidR="003443DF">
        <w:t xml:space="preserve">än i </w:t>
      </w:r>
      <w:r w:rsidR="00EC58EC" w:rsidRPr="004D103D">
        <w:t xml:space="preserve">dag att göra dessa påståenden, </w:t>
      </w:r>
      <w:r w:rsidR="003443DF">
        <w:t>trots växande vetenskapliga belägg</w:t>
      </w:r>
      <w:r w:rsidR="004E0902" w:rsidRPr="004D103D">
        <w:t xml:space="preserve"> för motsatsen</w:t>
      </w:r>
      <w:r w:rsidR="00EC58EC" w:rsidRPr="004D103D">
        <w:t>. Det är vår uppfattning att</w:t>
      </w:r>
      <w:r w:rsidR="004E0902" w:rsidRPr="004D103D">
        <w:t xml:space="preserve"> ICNIRP:s rik</w:t>
      </w:r>
      <w:r w:rsidR="00AC122D" w:rsidRPr="004D103D">
        <w:t>tlinjer är otillräckliga för att</w:t>
      </w:r>
      <w:r w:rsidR="004E0902" w:rsidRPr="004D103D">
        <w:t xml:space="preserve"> skydda folkhälsan</w:t>
      </w:r>
      <w:r w:rsidR="00EC58EC" w:rsidRPr="004D103D">
        <w:t xml:space="preserve">, eftersom </w:t>
      </w:r>
      <w:r w:rsidR="004E0902" w:rsidRPr="004D103D">
        <w:t xml:space="preserve">de </w:t>
      </w:r>
      <w:r w:rsidR="00EC58EC" w:rsidRPr="004D103D">
        <w:t xml:space="preserve">inte </w:t>
      </w:r>
      <w:r w:rsidR="00A607D1">
        <w:t>täcker</w:t>
      </w:r>
      <w:r w:rsidR="00EC58EC" w:rsidRPr="004D103D">
        <w:t xml:space="preserve"> </w:t>
      </w:r>
      <w:r w:rsidR="00A607D1">
        <w:t xml:space="preserve">effekter av </w:t>
      </w:r>
      <w:r w:rsidR="00EC58EC" w:rsidRPr="004D103D">
        <w:t>långvarig och</w:t>
      </w:r>
      <w:r w:rsidR="00AC122D" w:rsidRPr="004D103D">
        <w:t xml:space="preserve"> </w:t>
      </w:r>
      <w:r w:rsidR="00A607D1">
        <w:t>lågintensiv exponering.</w:t>
      </w:r>
    </w:p>
    <w:p w:rsidR="00EC58EC" w:rsidRPr="004D103D" w:rsidRDefault="00EC58EC" w:rsidP="0065619A">
      <w:pPr>
        <w:ind w:left="1134"/>
      </w:pPr>
      <w:r w:rsidRPr="004D103D">
        <w:t>WHO</w:t>
      </w:r>
      <w:r w:rsidR="00AC122D" w:rsidRPr="004D103D">
        <w:t xml:space="preserve"> antog</w:t>
      </w:r>
      <w:r w:rsidRPr="004D103D">
        <w:t xml:space="preserve"> Internationella cancerforskning</w:t>
      </w:r>
      <w:r w:rsidR="00084F3F" w:rsidRPr="004D103D">
        <w:t>sinstitut</w:t>
      </w:r>
      <w:r w:rsidR="00AC122D" w:rsidRPr="004D103D">
        <w:t>ets</w:t>
      </w:r>
      <w:r w:rsidRPr="004D103D">
        <w:t xml:space="preserve"> (IARC) klassificering av</w:t>
      </w:r>
      <w:r w:rsidR="000A2DB4">
        <w:t xml:space="preserve"> extremt låg</w:t>
      </w:r>
      <w:r w:rsidR="00084F3F" w:rsidRPr="004D103D">
        <w:t>frekventa</w:t>
      </w:r>
      <w:r w:rsidRPr="004D103D">
        <w:t xml:space="preserve"> elektromagnetiska fält (ELF EMF) </w:t>
      </w:r>
      <w:r w:rsidR="00AC122D" w:rsidRPr="004D103D">
        <w:t>2002</w:t>
      </w:r>
      <w:r w:rsidR="00391906">
        <w:rPr>
          <w:rStyle w:val="Fotnotsreferens"/>
        </w:rPr>
        <w:footnoteReference w:id="3"/>
      </w:r>
      <w:r w:rsidR="00AC122D" w:rsidRPr="004D103D">
        <w:t xml:space="preserve"> </w:t>
      </w:r>
      <w:r w:rsidR="00084F3F" w:rsidRPr="004D103D">
        <w:t xml:space="preserve">och radiofrekvent </w:t>
      </w:r>
      <w:r w:rsidRPr="004D103D">
        <w:t>strålning</w:t>
      </w:r>
      <w:r w:rsidR="008F129E">
        <w:t xml:space="preserve"> (RF-EMF</w:t>
      </w:r>
      <w:r w:rsidR="00AC122D" w:rsidRPr="004D103D">
        <w:t xml:space="preserve">) </w:t>
      </w:r>
      <w:r w:rsidR="00084F3F" w:rsidRPr="004D103D">
        <w:t>2011</w:t>
      </w:r>
      <w:r w:rsidR="00391906">
        <w:rPr>
          <w:rStyle w:val="Fotnotsreferens"/>
        </w:rPr>
        <w:footnoteReference w:id="4"/>
      </w:r>
      <w:r w:rsidRPr="004D103D">
        <w:t>. Denna kla</w:t>
      </w:r>
      <w:r w:rsidR="00AC122D" w:rsidRPr="004D103D">
        <w:t>ssificering anger att EMF är</w:t>
      </w:r>
      <w:r w:rsidRPr="004D103D">
        <w:t xml:space="preserve"> </w:t>
      </w:r>
      <w:r w:rsidRPr="004D103D">
        <w:rPr>
          <w:i/>
        </w:rPr>
        <w:t>möjlig</w:t>
      </w:r>
      <w:r w:rsidR="00084F3F" w:rsidRPr="004D103D">
        <w:rPr>
          <w:i/>
        </w:rPr>
        <w:t>en</w:t>
      </w:r>
      <w:r w:rsidRPr="004D103D">
        <w:rPr>
          <w:i/>
        </w:rPr>
        <w:t xml:space="preserve"> cancerframkallande </w:t>
      </w:r>
      <w:r w:rsidR="007114D6">
        <w:t>för människan</w:t>
      </w:r>
      <w:r w:rsidRPr="004D103D">
        <w:rPr>
          <w:i/>
        </w:rPr>
        <w:t xml:space="preserve"> </w:t>
      </w:r>
      <w:r w:rsidRPr="007114D6">
        <w:t>(Grupp 2B).</w:t>
      </w:r>
      <w:r w:rsidR="00AC122D" w:rsidRPr="004D103D">
        <w:t xml:space="preserve"> </w:t>
      </w:r>
      <w:r w:rsidR="00084F3F" w:rsidRPr="004D103D">
        <w:t>Trots dessa båda bedömningar av IARC</w:t>
      </w:r>
      <w:r w:rsidR="006C2CEA" w:rsidRPr="004D103D">
        <w:t>,</w:t>
      </w:r>
      <w:r w:rsidRPr="004D103D">
        <w:t xml:space="preserve"> fortsätter </w:t>
      </w:r>
      <w:r w:rsidR="00084F3F" w:rsidRPr="004D103D">
        <w:t xml:space="preserve">WHO att </w:t>
      </w:r>
      <w:r w:rsidRPr="004D103D">
        <w:t>hävda att de</w:t>
      </w:r>
      <w:r w:rsidR="00084F3F" w:rsidRPr="004D103D">
        <w:t xml:space="preserve">t inte finns tillräckliga belägg </w:t>
      </w:r>
      <w:r w:rsidRPr="004D103D">
        <w:t>för att</w:t>
      </w:r>
      <w:r w:rsidR="00084F3F" w:rsidRPr="004D103D">
        <w:t xml:space="preserve"> motivera sänkta </w:t>
      </w:r>
      <w:r w:rsidRPr="004D103D">
        <w:t>gränsvärden</w:t>
      </w:r>
      <w:r w:rsidR="00084F3F" w:rsidRPr="004D103D">
        <w:t xml:space="preserve"> för tillåten exponering</w:t>
      </w:r>
      <w:r w:rsidRPr="004D103D">
        <w:t>.</w:t>
      </w:r>
    </w:p>
    <w:p w:rsidR="00EC58EC" w:rsidRPr="004D103D" w:rsidRDefault="00EC58EC" w:rsidP="009318D8">
      <w:pPr>
        <w:ind w:left="1134"/>
      </w:pPr>
      <w:r w:rsidRPr="004D103D">
        <w:t xml:space="preserve">Eftersom </w:t>
      </w:r>
      <w:r w:rsidR="003443DF">
        <w:t>det råder</w:t>
      </w:r>
      <w:r w:rsidR="008E6221" w:rsidRPr="004D103D">
        <w:t xml:space="preserve"> oenighet om </w:t>
      </w:r>
      <w:r w:rsidR="00084F3F" w:rsidRPr="004D103D">
        <w:t xml:space="preserve">vilka villkor som ska ligga till grund </w:t>
      </w:r>
      <w:r w:rsidRPr="004D103D">
        <w:t>för att fastställa</w:t>
      </w:r>
      <w:r w:rsidR="00084F3F" w:rsidRPr="004D103D">
        <w:t xml:space="preserve"> gränsvärden avsedda att skydda </w:t>
      </w:r>
      <w:r w:rsidR="0038584D">
        <w:t xml:space="preserve">människor </w:t>
      </w:r>
      <w:r w:rsidR="00084F3F" w:rsidRPr="004D103D">
        <w:t xml:space="preserve">mot negativa </w:t>
      </w:r>
      <w:r w:rsidRPr="004D103D">
        <w:t xml:space="preserve">hälsoeffekter, rekommenderar </w:t>
      </w:r>
      <w:r w:rsidR="00084F3F" w:rsidRPr="004D103D">
        <w:t xml:space="preserve">vi </w:t>
      </w:r>
      <w:r w:rsidRPr="004D103D">
        <w:t>att FN: s miljöprogram (UNEP) sammankalla</w:t>
      </w:r>
      <w:r w:rsidR="00084F3F" w:rsidRPr="004D103D">
        <w:t>r</w:t>
      </w:r>
      <w:r w:rsidRPr="004D103D">
        <w:t xml:space="preserve"> och finansiera</w:t>
      </w:r>
      <w:r w:rsidR="00084F3F" w:rsidRPr="004D103D">
        <w:t>r</w:t>
      </w:r>
      <w:r w:rsidRPr="004D103D">
        <w:t xml:space="preserve"> en</w:t>
      </w:r>
      <w:r w:rsidR="00084F3F" w:rsidRPr="004D103D">
        <w:t xml:space="preserve"> </w:t>
      </w:r>
      <w:r w:rsidRPr="004D103D">
        <w:t>oberoende tvärvetenskaplig kommitté för att undersöka för- och nackdelar med alternativ till nuvarande</w:t>
      </w:r>
      <w:r w:rsidR="00084F3F" w:rsidRPr="004D103D">
        <w:t xml:space="preserve"> </w:t>
      </w:r>
      <w:r w:rsidR="003443DF">
        <w:t>praxis</w:t>
      </w:r>
      <w:r w:rsidR="00AC122D" w:rsidRPr="004D103D">
        <w:t xml:space="preserve"> </w:t>
      </w:r>
      <w:r w:rsidR="003443DF">
        <w:t xml:space="preserve">som </w:t>
      </w:r>
      <w:r w:rsidR="00AC122D" w:rsidRPr="004D103D">
        <w:t xml:space="preserve">väsentligt </w:t>
      </w:r>
      <w:r w:rsidR="003443DF">
        <w:t xml:space="preserve">kunde </w:t>
      </w:r>
      <w:r w:rsidR="00AC122D" w:rsidRPr="004D103D">
        <w:t>sänka människors exponering</w:t>
      </w:r>
      <w:r w:rsidR="00084F3F" w:rsidRPr="004D103D">
        <w:t xml:space="preserve"> för </w:t>
      </w:r>
      <w:r w:rsidRPr="004D103D">
        <w:t>RF</w:t>
      </w:r>
      <w:r w:rsidR="00084F3F" w:rsidRPr="004D103D">
        <w:t>-</w:t>
      </w:r>
      <w:r w:rsidR="0038584D">
        <w:t xml:space="preserve">EMF </w:t>
      </w:r>
      <w:r w:rsidR="00084F3F" w:rsidRPr="004D103D">
        <w:t>strålning och ELF-</w:t>
      </w:r>
      <w:r w:rsidR="0038584D">
        <w:t>EMF</w:t>
      </w:r>
      <w:r w:rsidRPr="004D103D">
        <w:t xml:space="preserve"> fält. Överläggningar</w:t>
      </w:r>
      <w:r w:rsidR="009532E5">
        <w:t xml:space="preserve"> inom en sådan kommitté</w:t>
      </w:r>
      <w:r w:rsidRPr="004D103D">
        <w:t xml:space="preserve"> bör bedrivas på ett </w:t>
      </w:r>
      <w:r w:rsidR="00084F3F" w:rsidRPr="004D103D">
        <w:t xml:space="preserve">transparent </w:t>
      </w:r>
      <w:r w:rsidRPr="004D103D">
        <w:t>och opartiskt sätt. Även om det är viktigt att</w:t>
      </w:r>
      <w:r w:rsidR="00084F3F" w:rsidRPr="004D103D">
        <w:t xml:space="preserve"> industrin är </w:t>
      </w:r>
      <w:r w:rsidRPr="004D103D">
        <w:t>med och samarbeta</w:t>
      </w:r>
      <w:r w:rsidR="00084F3F" w:rsidRPr="004D103D">
        <w:t>r</w:t>
      </w:r>
      <w:r w:rsidRPr="004D103D">
        <w:t xml:space="preserve"> i denna process bör industrin inte tillåtas </w:t>
      </w:r>
      <w:r w:rsidR="00084F3F" w:rsidRPr="004D103D">
        <w:t xml:space="preserve">att påverka metoder eller slutsatser. </w:t>
      </w:r>
      <w:r w:rsidR="009532E5">
        <w:t>Kommittén</w:t>
      </w:r>
      <w:r w:rsidRPr="004D103D">
        <w:t xml:space="preserve"> bör </w:t>
      </w:r>
      <w:r w:rsidR="009532E5">
        <w:t>av</w:t>
      </w:r>
      <w:r w:rsidRPr="004D103D">
        <w:t xml:space="preserve">ge sin analys till FN och WHO </w:t>
      </w:r>
      <w:r w:rsidR="0028747E" w:rsidRPr="004D103D">
        <w:t xml:space="preserve">som vägledning för </w:t>
      </w:r>
      <w:r w:rsidRPr="004D103D">
        <w:t>försiktighetsåtgärder.</w:t>
      </w:r>
    </w:p>
    <w:p w:rsidR="00EC58EC" w:rsidRPr="004D103D" w:rsidRDefault="00806587" w:rsidP="009318D8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Gemensamt </w:t>
      </w:r>
      <w:r w:rsidR="00EC58EC" w:rsidRPr="004D103D">
        <w:rPr>
          <w:b/>
          <w:sz w:val="28"/>
          <w:szCs w:val="28"/>
        </w:rPr>
        <w:t xml:space="preserve">begär </w:t>
      </w:r>
      <w:r w:rsidR="0028747E" w:rsidRPr="004D103D">
        <w:rPr>
          <w:b/>
          <w:sz w:val="28"/>
          <w:szCs w:val="28"/>
        </w:rPr>
        <w:t xml:space="preserve">vi </w:t>
      </w:r>
      <w:r w:rsidR="00EC58EC" w:rsidRPr="004D103D">
        <w:rPr>
          <w:b/>
          <w:sz w:val="28"/>
          <w:szCs w:val="28"/>
        </w:rPr>
        <w:t>också att:</w:t>
      </w:r>
    </w:p>
    <w:p w:rsidR="00EC58EC" w:rsidRPr="004D103D" w:rsidRDefault="00EC58EC" w:rsidP="009318D8">
      <w:pPr>
        <w:ind w:left="1134"/>
      </w:pPr>
      <w:r w:rsidRPr="004D103D">
        <w:t>1. barn och gravida kvinnor skyddas;</w:t>
      </w:r>
    </w:p>
    <w:p w:rsidR="00EC58EC" w:rsidRPr="004D103D" w:rsidRDefault="00EC58EC" w:rsidP="009318D8">
      <w:pPr>
        <w:ind w:left="1134"/>
      </w:pPr>
      <w:r w:rsidRPr="004D103D">
        <w:t xml:space="preserve">2. riktlinjer </w:t>
      </w:r>
      <w:r w:rsidR="0028747E" w:rsidRPr="004D103D">
        <w:t xml:space="preserve">och </w:t>
      </w:r>
      <w:r w:rsidR="00507809" w:rsidRPr="004D103D">
        <w:t>standardiserade regelverk skärps</w:t>
      </w:r>
      <w:r w:rsidRPr="004D103D">
        <w:t>;</w:t>
      </w:r>
    </w:p>
    <w:p w:rsidR="00EC58EC" w:rsidRPr="004D103D" w:rsidRDefault="00EC58EC" w:rsidP="009318D8">
      <w:pPr>
        <w:ind w:left="1134"/>
      </w:pPr>
      <w:r w:rsidRPr="004D103D">
        <w:t>3. tillverkarna uppmuntras att utveckla säkrare teknik;</w:t>
      </w:r>
    </w:p>
    <w:p w:rsidR="00EC58EC" w:rsidRPr="004D103D" w:rsidRDefault="00084F3F" w:rsidP="009318D8">
      <w:pPr>
        <w:ind w:left="1134"/>
      </w:pPr>
      <w:r w:rsidRPr="004D103D">
        <w:t xml:space="preserve">4. företag </w:t>
      </w:r>
      <w:r w:rsidR="00EC58EC" w:rsidRPr="004D103D">
        <w:t xml:space="preserve">som ansvarar för produktion, överföring, distribution och övervakning av </w:t>
      </w:r>
      <w:r w:rsidR="00507809" w:rsidRPr="004D103D">
        <w:t>elektricitet</w:t>
      </w:r>
      <w:r w:rsidR="0028747E" w:rsidRPr="004D103D">
        <w:t xml:space="preserve"> </w:t>
      </w:r>
      <w:r w:rsidRPr="004D103D">
        <w:t>upprätthåller</w:t>
      </w:r>
      <w:r w:rsidR="00EC58EC" w:rsidRPr="004D103D">
        <w:t xml:space="preserve"> </w:t>
      </w:r>
      <w:r w:rsidRPr="004D103D">
        <w:t>god kvalitet på el och säkerställer</w:t>
      </w:r>
      <w:r w:rsidR="00EC58EC" w:rsidRPr="004D103D">
        <w:t xml:space="preserve"> korrekt</w:t>
      </w:r>
      <w:r w:rsidRPr="004D103D">
        <w:t>a</w:t>
      </w:r>
      <w:r w:rsidR="00EC58EC" w:rsidRPr="004D103D">
        <w:t xml:space="preserve"> elledningar för att minimera skadliga</w:t>
      </w:r>
      <w:r w:rsidRPr="004D103D">
        <w:t xml:space="preserve"> </w:t>
      </w:r>
      <w:r w:rsidR="0028747E" w:rsidRPr="004D103D">
        <w:t>jordströmmar</w:t>
      </w:r>
    </w:p>
    <w:p w:rsidR="00EC58EC" w:rsidRPr="004D103D" w:rsidRDefault="00EC58EC" w:rsidP="009318D8">
      <w:pPr>
        <w:ind w:left="1134"/>
      </w:pPr>
      <w:r w:rsidRPr="004D103D">
        <w:lastRenderedPageBreak/>
        <w:t>5. allmänheten få</w:t>
      </w:r>
      <w:r w:rsidR="00084F3F" w:rsidRPr="004D103D">
        <w:t>r</w:t>
      </w:r>
      <w:r w:rsidR="009532E5">
        <w:t xml:space="preserve"> heltäckande</w:t>
      </w:r>
      <w:r w:rsidRPr="004D103D">
        <w:t xml:space="preserve"> information om de potentiella hälsorisker</w:t>
      </w:r>
      <w:r w:rsidR="00084F3F" w:rsidRPr="004D103D">
        <w:t>na</w:t>
      </w:r>
      <w:r w:rsidR="00E16D02" w:rsidRPr="004D103D">
        <w:t xml:space="preserve"> med </w:t>
      </w:r>
      <w:r w:rsidR="00030AF5" w:rsidRPr="004D103D">
        <w:t xml:space="preserve">elektromagnetiska fält </w:t>
      </w:r>
      <w:r w:rsidR="00B2561D">
        <w:t>samt</w:t>
      </w:r>
      <w:r w:rsidR="00084F3F" w:rsidRPr="004D103D">
        <w:t xml:space="preserve"> </w:t>
      </w:r>
      <w:r w:rsidR="00030AF5" w:rsidRPr="004D103D">
        <w:t xml:space="preserve">utbildas om åtgärder för att minska </w:t>
      </w:r>
      <w:r w:rsidR="00B2561D">
        <w:t>hälsorisker</w:t>
      </w:r>
      <w:r w:rsidR="008B0591">
        <w:t>na</w:t>
      </w:r>
      <w:r w:rsidRPr="004D103D">
        <w:t>;</w:t>
      </w:r>
    </w:p>
    <w:p w:rsidR="00EC58EC" w:rsidRPr="004D103D" w:rsidRDefault="00EC58EC" w:rsidP="009318D8">
      <w:pPr>
        <w:ind w:left="1134"/>
      </w:pPr>
      <w:r w:rsidRPr="004D103D">
        <w:t>6. vårdpersonal utbildas om de biologiska effek</w:t>
      </w:r>
      <w:r w:rsidR="00030AF5" w:rsidRPr="004D103D">
        <w:t>terna av elektromagnetiska fält</w:t>
      </w:r>
      <w:r w:rsidRPr="004D103D">
        <w:t xml:space="preserve"> oc</w:t>
      </w:r>
      <w:r w:rsidR="00AB48AA" w:rsidRPr="004D103D">
        <w:t xml:space="preserve">h </w:t>
      </w:r>
      <w:r w:rsidR="009532E5">
        <w:t xml:space="preserve">om </w:t>
      </w:r>
      <w:r w:rsidRPr="004D103D">
        <w:t>behandling av</w:t>
      </w:r>
      <w:r w:rsidR="00AB48AA" w:rsidRPr="004D103D">
        <w:t xml:space="preserve"> patienter med elektromagnetisk</w:t>
      </w:r>
      <w:r w:rsidRPr="004D103D">
        <w:t xml:space="preserve"> känslighet;</w:t>
      </w:r>
    </w:p>
    <w:p w:rsidR="00EC58EC" w:rsidRPr="004D103D" w:rsidRDefault="00AB48AA" w:rsidP="009318D8">
      <w:pPr>
        <w:ind w:left="1134"/>
      </w:pPr>
      <w:r w:rsidRPr="004D103D">
        <w:t>7. regeringar finansierar</w:t>
      </w:r>
      <w:r w:rsidR="00EC58EC" w:rsidRPr="004D103D">
        <w:t xml:space="preserve"> </w:t>
      </w:r>
      <w:r w:rsidR="009532E5">
        <w:t xml:space="preserve">sådan </w:t>
      </w:r>
      <w:r w:rsidR="00EC58EC" w:rsidRPr="004D103D">
        <w:t>utbildning och forskning om elektromagnetiska fält och hälsa</w:t>
      </w:r>
      <w:r w:rsidR="008B0591">
        <w:t>,</w:t>
      </w:r>
      <w:r w:rsidR="00EC58EC" w:rsidRPr="004D103D">
        <w:t xml:space="preserve"> som är</w:t>
      </w:r>
      <w:r w:rsidR="00030AF5" w:rsidRPr="004D103D">
        <w:t xml:space="preserve"> </w:t>
      </w:r>
      <w:r w:rsidR="00EC58EC" w:rsidRPr="004D103D">
        <w:t xml:space="preserve">oberoende </w:t>
      </w:r>
      <w:r w:rsidRPr="004D103D">
        <w:t>av industri</w:t>
      </w:r>
      <w:r w:rsidR="008B0591">
        <w:t>n,</w:t>
      </w:r>
      <w:r w:rsidRPr="004D103D">
        <w:t xml:space="preserve"> och ålägger</w:t>
      </w:r>
      <w:r w:rsidR="00EC58EC" w:rsidRPr="004D103D">
        <w:t xml:space="preserve"> industrin </w:t>
      </w:r>
      <w:r w:rsidRPr="004D103D">
        <w:t xml:space="preserve">att </w:t>
      </w:r>
      <w:r w:rsidR="00030AF5" w:rsidRPr="004D103D">
        <w:t>samarbeta</w:t>
      </w:r>
      <w:r w:rsidR="00EC58EC" w:rsidRPr="004D103D">
        <w:t xml:space="preserve"> med forskare;</w:t>
      </w:r>
    </w:p>
    <w:p w:rsidR="00EC58EC" w:rsidRPr="004D103D" w:rsidRDefault="00EC58EC" w:rsidP="009318D8">
      <w:pPr>
        <w:ind w:left="1134"/>
      </w:pPr>
      <w:r w:rsidRPr="004D103D">
        <w:t>8. media avslöjar experternas finansiella rela</w:t>
      </w:r>
      <w:r w:rsidR="00AB48AA" w:rsidRPr="004D103D">
        <w:t>tioner med industrin när deras</w:t>
      </w:r>
      <w:r w:rsidRPr="004D103D">
        <w:t xml:space="preserve"> åsikter</w:t>
      </w:r>
      <w:r w:rsidR="00030AF5" w:rsidRPr="004D103D">
        <w:t xml:space="preserve"> om</w:t>
      </w:r>
      <w:bookmarkStart w:id="0" w:name="_GoBack"/>
      <w:bookmarkEnd w:id="0"/>
      <w:r w:rsidRPr="004D103D">
        <w:t xml:space="preserve"> </w:t>
      </w:r>
      <w:r w:rsidR="00030AF5" w:rsidRPr="004D103D">
        <w:t>hälso- och säkerhetsaspekter</w:t>
      </w:r>
      <w:r w:rsidR="00AB48AA" w:rsidRPr="004D103D">
        <w:t xml:space="preserve"> med</w:t>
      </w:r>
      <w:r w:rsidRPr="004D103D">
        <w:t xml:space="preserve"> teknik</w:t>
      </w:r>
      <w:r w:rsidR="00AB48AA" w:rsidRPr="004D103D">
        <w:t xml:space="preserve"> som avger EMF</w:t>
      </w:r>
      <w:r w:rsidR="00030AF5" w:rsidRPr="004D103D">
        <w:t xml:space="preserve"> återges</w:t>
      </w:r>
      <w:r w:rsidRPr="004D103D">
        <w:t>; och</w:t>
      </w:r>
    </w:p>
    <w:p w:rsidR="00D878FE" w:rsidRDefault="00EC58EC" w:rsidP="00D878FE">
      <w:pPr>
        <w:ind w:left="1134"/>
      </w:pPr>
      <w:r w:rsidRPr="004D103D">
        <w:t>9. vita-zoner (strålningsfria områden) inrättas.</w:t>
      </w:r>
    </w:p>
    <w:p w:rsidR="00D878FE" w:rsidRPr="002B79B6" w:rsidRDefault="00BB2B28" w:rsidP="00D878FE">
      <w:pPr>
        <w:ind w:left="1134"/>
        <w:rPr>
          <w:b/>
        </w:rPr>
      </w:pPr>
      <w:r w:rsidRPr="002B79B6">
        <w:rPr>
          <w:b/>
        </w:rPr>
        <w:t xml:space="preserve">Releasedatum: 11 maj </w:t>
      </w:r>
      <w:r w:rsidR="00D878FE" w:rsidRPr="002B79B6">
        <w:rPr>
          <w:b/>
        </w:rPr>
        <w:t>2015</w:t>
      </w:r>
    </w:p>
    <w:p w:rsidR="007C08CE" w:rsidRPr="00BB2B28" w:rsidRDefault="00BB2B28" w:rsidP="00BB2B28">
      <w:pPr>
        <w:ind w:left="1134"/>
        <w:rPr>
          <w:b/>
        </w:rPr>
      </w:pPr>
      <w:r w:rsidRPr="00BB2B28">
        <w:rPr>
          <w:b/>
        </w:rPr>
        <w:t xml:space="preserve">Frågor kan ställas via </w:t>
      </w:r>
      <w:r w:rsidR="00D878FE" w:rsidRPr="00BB2B28">
        <w:rPr>
          <w:b/>
        </w:rPr>
        <w:t xml:space="preserve">Elizabeth Kelley, M.A., </w:t>
      </w:r>
      <w:r>
        <w:rPr>
          <w:b/>
        </w:rPr>
        <w:t>direktör</w:t>
      </w:r>
      <w:r w:rsidR="00D878FE" w:rsidRPr="00BB2B28">
        <w:rPr>
          <w:b/>
        </w:rPr>
        <w:t>, EMFScientist</w:t>
      </w:r>
      <w:r>
        <w:rPr>
          <w:b/>
        </w:rPr>
        <w:t xml:space="preserve">.org, e-post: </w:t>
      </w:r>
      <w:r w:rsidR="00D878FE" w:rsidRPr="00BB2B28">
        <w:rPr>
          <w:b/>
        </w:rPr>
        <w:t xml:space="preserve">info@EMFScientist.org                                                          </w:t>
      </w:r>
    </w:p>
    <w:p w:rsidR="007C08CE" w:rsidRPr="00B34C2D" w:rsidRDefault="007C08CE" w:rsidP="007C08CE">
      <w:pPr>
        <w:autoSpaceDE w:val="0"/>
        <w:autoSpaceDN w:val="0"/>
        <w:adjustRightInd w:val="0"/>
        <w:spacing w:after="0" w:line="240" w:lineRule="auto"/>
        <w:ind w:left="1134"/>
        <w:rPr>
          <w:sz w:val="18"/>
          <w:szCs w:val="18"/>
        </w:rPr>
      </w:pPr>
      <w:r w:rsidRPr="00B34C2D">
        <w:rPr>
          <w:sz w:val="18"/>
          <w:szCs w:val="18"/>
        </w:rPr>
        <w:t xml:space="preserve">Fotnot: Undertecknarna </w:t>
      </w:r>
      <w:r w:rsidR="00B34C2D" w:rsidRPr="00B34C2D">
        <w:rPr>
          <w:sz w:val="18"/>
          <w:szCs w:val="18"/>
        </w:rPr>
        <w:t>av denna appell har uttryckt sin</w:t>
      </w:r>
      <w:r w:rsidRPr="00B34C2D">
        <w:rPr>
          <w:sz w:val="18"/>
          <w:szCs w:val="18"/>
        </w:rPr>
        <w:t xml:space="preserve"> personliga </w:t>
      </w:r>
      <w:r w:rsidR="00B34C2D" w:rsidRPr="00B34C2D">
        <w:rPr>
          <w:sz w:val="18"/>
          <w:szCs w:val="18"/>
        </w:rPr>
        <w:t xml:space="preserve">bedömning </w:t>
      </w:r>
      <w:r w:rsidR="002E7E0D">
        <w:rPr>
          <w:sz w:val="18"/>
          <w:szCs w:val="18"/>
        </w:rPr>
        <w:t>och</w:t>
      </w:r>
      <w:r w:rsidRPr="00B34C2D">
        <w:rPr>
          <w:sz w:val="18"/>
          <w:szCs w:val="18"/>
        </w:rPr>
        <w:t xml:space="preserve"> </w:t>
      </w:r>
      <w:r w:rsidR="00BB2B28">
        <w:rPr>
          <w:sz w:val="18"/>
          <w:szCs w:val="18"/>
        </w:rPr>
        <w:t xml:space="preserve">därmed </w:t>
      </w:r>
      <w:r w:rsidRPr="00B34C2D">
        <w:rPr>
          <w:sz w:val="18"/>
          <w:szCs w:val="18"/>
        </w:rPr>
        <w:t xml:space="preserve">uppgett sin professionella tillhörighet, vilket inte nödvändigtvis innebär att </w:t>
      </w:r>
      <w:r w:rsidR="00BB2B28">
        <w:rPr>
          <w:sz w:val="18"/>
          <w:szCs w:val="18"/>
        </w:rPr>
        <w:t>bedömningen</w:t>
      </w:r>
      <w:r w:rsidR="00B34C2D" w:rsidRPr="00B34C2D">
        <w:rPr>
          <w:sz w:val="18"/>
          <w:szCs w:val="18"/>
        </w:rPr>
        <w:t xml:space="preserve"> är representativ för </w:t>
      </w:r>
      <w:r w:rsidRPr="00B34C2D">
        <w:rPr>
          <w:sz w:val="18"/>
          <w:szCs w:val="18"/>
        </w:rPr>
        <w:t>arbetsgivaren eller den</w:t>
      </w:r>
      <w:r w:rsidR="00B34C2D" w:rsidRPr="00B34C2D">
        <w:rPr>
          <w:sz w:val="18"/>
          <w:szCs w:val="18"/>
        </w:rPr>
        <w:t xml:space="preserve"> organisation de är knutna till.</w:t>
      </w:r>
    </w:p>
    <w:p w:rsidR="007C08CE" w:rsidRPr="007C08CE" w:rsidRDefault="007C08CE" w:rsidP="007C08CE">
      <w:pPr>
        <w:ind w:left="1134"/>
      </w:pPr>
    </w:p>
    <w:sectPr w:rsidR="007C08CE" w:rsidRPr="007C08CE" w:rsidSect="009553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DA7" w:rsidRDefault="00AD1DA7" w:rsidP="001C48F8">
      <w:pPr>
        <w:spacing w:after="0" w:line="240" w:lineRule="auto"/>
      </w:pPr>
      <w:r>
        <w:separator/>
      </w:r>
    </w:p>
  </w:endnote>
  <w:endnote w:type="continuationSeparator" w:id="0">
    <w:p w:rsidR="00AD1DA7" w:rsidRDefault="00AD1DA7" w:rsidP="001C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26485"/>
      <w:docPartObj>
        <w:docPartGallery w:val="Page Numbers (Bottom of Page)"/>
        <w:docPartUnique/>
      </w:docPartObj>
    </w:sdtPr>
    <w:sdtContent>
      <w:p w:rsidR="00F329AE" w:rsidRDefault="00E453EE">
        <w:pPr>
          <w:pStyle w:val="Sidfot"/>
          <w:jc w:val="center"/>
        </w:pPr>
        <w:fldSimple w:instr=" PAGE   \* MERGEFORMAT ">
          <w:r w:rsidR="002B79B6">
            <w:rPr>
              <w:noProof/>
            </w:rPr>
            <w:t>1</w:t>
          </w:r>
        </w:fldSimple>
      </w:p>
    </w:sdtContent>
  </w:sdt>
  <w:p w:rsidR="00F329AE" w:rsidRDefault="00F329AE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DA7" w:rsidRDefault="00AD1DA7" w:rsidP="001C48F8">
      <w:pPr>
        <w:spacing w:after="0" w:line="240" w:lineRule="auto"/>
      </w:pPr>
      <w:r>
        <w:separator/>
      </w:r>
    </w:p>
  </w:footnote>
  <w:footnote w:type="continuationSeparator" w:id="0">
    <w:p w:rsidR="00AD1DA7" w:rsidRDefault="00AD1DA7" w:rsidP="001C48F8">
      <w:pPr>
        <w:spacing w:after="0" w:line="240" w:lineRule="auto"/>
      </w:pPr>
      <w:r>
        <w:continuationSeparator/>
      </w:r>
    </w:p>
  </w:footnote>
  <w:footnote w:id="1">
    <w:p w:rsidR="001C48F8" w:rsidRDefault="001C48F8" w:rsidP="00D3461E">
      <w:pPr>
        <w:spacing w:after="0" w:line="240" w:lineRule="auto"/>
      </w:pPr>
      <w:r w:rsidRPr="001C48F8">
        <w:rPr>
          <w:rStyle w:val="Fotnotsreferens"/>
          <w:sz w:val="16"/>
          <w:szCs w:val="16"/>
        </w:rPr>
        <w:footnoteRef/>
      </w:r>
      <w:r w:rsidRPr="001C48F8">
        <w:rPr>
          <w:sz w:val="16"/>
          <w:szCs w:val="16"/>
        </w:rPr>
        <w:t xml:space="preserve"> </w:t>
      </w:r>
      <w:hyperlink r:id="rId1" w:history="1">
        <w:r w:rsidRPr="001C48F8">
          <w:rPr>
            <w:rStyle w:val="Hyperlnk"/>
            <w:rFonts w:ascii="Times New Roman" w:hAnsi="Times New Roman" w:cs="Times New Roman"/>
            <w:sz w:val="16"/>
            <w:szCs w:val="16"/>
          </w:rPr>
          <w:t>http://www.icnirp.org/cms/upload/publications/ICNIRPemfgdl.pdf</w:t>
        </w:r>
      </w:hyperlink>
    </w:p>
  </w:footnote>
  <w:footnote w:id="2">
    <w:p w:rsidR="00A1337C" w:rsidRDefault="00A1337C" w:rsidP="00391906">
      <w:pPr>
        <w:pStyle w:val="Fotnotstext"/>
      </w:pPr>
      <w:r w:rsidRPr="00A1337C">
        <w:rPr>
          <w:rStyle w:val="Fotnotsreferens"/>
          <w:sz w:val="16"/>
          <w:szCs w:val="16"/>
        </w:rPr>
        <w:footnoteRef/>
      </w:r>
      <w:r w:rsidRPr="00A1337C">
        <w:rPr>
          <w:sz w:val="16"/>
          <w:szCs w:val="16"/>
        </w:rPr>
        <w:t xml:space="preserve"> </w:t>
      </w:r>
      <w:hyperlink r:id="rId2" w:history="1">
        <w:r w:rsidR="0018153B" w:rsidRPr="0018153B">
          <w:rPr>
            <w:rStyle w:val="Hyperlnk"/>
            <w:rFonts w:ascii="Arial" w:hAnsi="Arial" w:cs="Arial"/>
            <w:sz w:val="14"/>
            <w:szCs w:val="14"/>
          </w:rPr>
          <w:t>http://www.icnirp.org/cms/upload/publications/ICNIRPStatementEMF.pdf</w:t>
        </w:r>
      </w:hyperlink>
    </w:p>
  </w:footnote>
  <w:footnote w:id="3">
    <w:p w:rsidR="00391906" w:rsidRDefault="00391906" w:rsidP="00D3461E">
      <w:pPr>
        <w:autoSpaceDE w:val="0"/>
        <w:autoSpaceDN w:val="0"/>
        <w:adjustRightInd w:val="0"/>
        <w:spacing w:after="0" w:line="240" w:lineRule="auto"/>
      </w:pPr>
      <w:r w:rsidRPr="00391906">
        <w:rPr>
          <w:rStyle w:val="Fotnotsreferens"/>
          <w:sz w:val="16"/>
          <w:szCs w:val="16"/>
        </w:rPr>
        <w:footnoteRef/>
      </w:r>
      <w:r w:rsidRPr="00391906">
        <w:rPr>
          <w:sz w:val="16"/>
          <w:szCs w:val="16"/>
        </w:rPr>
        <w:t xml:space="preserve"> </w:t>
      </w:r>
      <w:r w:rsidRPr="00391906">
        <w:rPr>
          <w:rFonts w:ascii="Times New Roman" w:hAnsi="Times New Roman" w:cs="Times New Roman"/>
          <w:color w:val="0000FF"/>
          <w:sz w:val="16"/>
          <w:szCs w:val="16"/>
        </w:rPr>
        <w:t>http://monographs.iarc.fr/ENG/Monographs/vol80/</w:t>
      </w:r>
    </w:p>
  </w:footnote>
  <w:footnote w:id="4">
    <w:p w:rsidR="00391906" w:rsidRPr="00391906" w:rsidRDefault="00391906" w:rsidP="003919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1906">
        <w:rPr>
          <w:rStyle w:val="Fotnotsreferens"/>
          <w:sz w:val="16"/>
          <w:szCs w:val="16"/>
        </w:rPr>
        <w:footnoteRef/>
      </w:r>
      <w:r w:rsidRPr="00391906">
        <w:rPr>
          <w:sz w:val="16"/>
          <w:szCs w:val="16"/>
        </w:rPr>
        <w:t xml:space="preserve"> </w:t>
      </w:r>
      <w:r w:rsidRPr="00391906">
        <w:rPr>
          <w:rFonts w:ascii="Times New Roman" w:hAnsi="Times New Roman" w:cs="Times New Roman"/>
          <w:color w:val="0000FF"/>
          <w:sz w:val="16"/>
          <w:szCs w:val="16"/>
        </w:rPr>
        <w:t>http://monographs.iarc.fr/ENG/Monographs/vol102/</w:t>
      </w:r>
    </w:p>
    <w:p w:rsidR="00391906" w:rsidRDefault="00391906">
      <w:pPr>
        <w:pStyle w:val="Fotnots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8EC"/>
    <w:rsid w:val="00030AF5"/>
    <w:rsid w:val="00052D35"/>
    <w:rsid w:val="00084F3F"/>
    <w:rsid w:val="000A2DB4"/>
    <w:rsid w:val="000C0590"/>
    <w:rsid w:val="000F3084"/>
    <w:rsid w:val="001449C3"/>
    <w:rsid w:val="00155FFE"/>
    <w:rsid w:val="0018153B"/>
    <w:rsid w:val="001C48F8"/>
    <w:rsid w:val="0028747E"/>
    <w:rsid w:val="0029419C"/>
    <w:rsid w:val="002B79B6"/>
    <w:rsid w:val="002E7E0D"/>
    <w:rsid w:val="00316643"/>
    <w:rsid w:val="003443DF"/>
    <w:rsid w:val="00355734"/>
    <w:rsid w:val="003702BD"/>
    <w:rsid w:val="00380C06"/>
    <w:rsid w:val="0038584D"/>
    <w:rsid w:val="00391906"/>
    <w:rsid w:val="003E6626"/>
    <w:rsid w:val="0045078F"/>
    <w:rsid w:val="004D103D"/>
    <w:rsid w:val="004E0902"/>
    <w:rsid w:val="00507809"/>
    <w:rsid w:val="005406E2"/>
    <w:rsid w:val="00540E1E"/>
    <w:rsid w:val="006023E1"/>
    <w:rsid w:val="00650075"/>
    <w:rsid w:val="0065619A"/>
    <w:rsid w:val="006A2C03"/>
    <w:rsid w:val="006B4769"/>
    <w:rsid w:val="006C2CEA"/>
    <w:rsid w:val="007114D6"/>
    <w:rsid w:val="00722A8B"/>
    <w:rsid w:val="0073799E"/>
    <w:rsid w:val="00767B80"/>
    <w:rsid w:val="00783FE7"/>
    <w:rsid w:val="007C08CE"/>
    <w:rsid w:val="00806587"/>
    <w:rsid w:val="00853D6C"/>
    <w:rsid w:val="008B0591"/>
    <w:rsid w:val="008E6221"/>
    <w:rsid w:val="008F129E"/>
    <w:rsid w:val="00914E34"/>
    <w:rsid w:val="00922EBF"/>
    <w:rsid w:val="009318D8"/>
    <w:rsid w:val="009532E5"/>
    <w:rsid w:val="009553C1"/>
    <w:rsid w:val="00970AAC"/>
    <w:rsid w:val="00A1337C"/>
    <w:rsid w:val="00A607D1"/>
    <w:rsid w:val="00A7565C"/>
    <w:rsid w:val="00AA6872"/>
    <w:rsid w:val="00AB48AA"/>
    <w:rsid w:val="00AC122D"/>
    <w:rsid w:val="00AD1DA7"/>
    <w:rsid w:val="00B06113"/>
    <w:rsid w:val="00B2561D"/>
    <w:rsid w:val="00B300B8"/>
    <w:rsid w:val="00B33E88"/>
    <w:rsid w:val="00B34C2D"/>
    <w:rsid w:val="00BB1F36"/>
    <w:rsid w:val="00BB2B28"/>
    <w:rsid w:val="00BF7F5D"/>
    <w:rsid w:val="00C72690"/>
    <w:rsid w:val="00CC64C5"/>
    <w:rsid w:val="00CF1702"/>
    <w:rsid w:val="00D218B6"/>
    <w:rsid w:val="00D3461E"/>
    <w:rsid w:val="00D51577"/>
    <w:rsid w:val="00D878FE"/>
    <w:rsid w:val="00DC3B6B"/>
    <w:rsid w:val="00E16D02"/>
    <w:rsid w:val="00E16F5A"/>
    <w:rsid w:val="00E453EE"/>
    <w:rsid w:val="00E510CB"/>
    <w:rsid w:val="00E77B12"/>
    <w:rsid w:val="00EC58EC"/>
    <w:rsid w:val="00ED4C06"/>
    <w:rsid w:val="00F329AE"/>
    <w:rsid w:val="00F451F9"/>
    <w:rsid w:val="00F475A5"/>
    <w:rsid w:val="00FB7035"/>
    <w:rsid w:val="00FD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443DF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unhideWhenUsed/>
    <w:rsid w:val="001C48F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C48F8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C48F8"/>
    <w:rPr>
      <w:vertAlign w:val="superscript"/>
    </w:rPr>
  </w:style>
  <w:style w:type="paragraph" w:styleId="Normalwebb">
    <w:name w:val="Normal (Web)"/>
    <w:basedOn w:val="Normal"/>
    <w:uiPriority w:val="99"/>
    <w:unhideWhenUsed/>
    <w:rsid w:val="00D878F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8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153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F32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329AE"/>
  </w:style>
  <w:style w:type="paragraph" w:styleId="Sidfot">
    <w:name w:val="footer"/>
    <w:basedOn w:val="Normal"/>
    <w:link w:val="SidfotChar"/>
    <w:uiPriority w:val="99"/>
    <w:unhideWhenUsed/>
    <w:rsid w:val="00F32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32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nirp.org/cms/upload/publications/ICNIRPStatementEMF.pdf" TargetMode="External"/><Relationship Id="rId1" Type="http://schemas.openxmlformats.org/officeDocument/2006/relationships/hyperlink" Target="http://www.icnirp.org/cms/upload/publications/ICNIRPemfgdl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6E01C-206D-4FE0-9D2D-9ACE3955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MNM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Nilsson</dc:creator>
  <cp:lastModifiedBy>Mona Nilsson</cp:lastModifiedBy>
  <cp:revision>2</cp:revision>
  <cp:lastPrinted>2015-05-03T12:35:00Z</cp:lastPrinted>
  <dcterms:created xsi:type="dcterms:W3CDTF">2015-05-10T12:52:00Z</dcterms:created>
  <dcterms:modified xsi:type="dcterms:W3CDTF">2015-05-10T12:52:00Z</dcterms:modified>
</cp:coreProperties>
</file>